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154092" w14:textId="6D570BEE" w:rsidR="00E90E49" w:rsidRPr="00050C46" w:rsidRDefault="00E90E49" w:rsidP="00E35559">
      <w:pPr>
        <w:pStyle w:val="3GPPHeader"/>
        <w:spacing w:after="60"/>
        <w:rPr>
          <w:i/>
          <w:sz w:val="32"/>
          <w:szCs w:val="32"/>
          <w:highlight w:val="yellow"/>
        </w:rPr>
      </w:pPr>
      <w:r w:rsidRPr="00CE0424">
        <w:t>3GPP TSG-RAN WG</w:t>
      </w:r>
      <w:r w:rsidR="008F1C4E">
        <w:t>1</w:t>
      </w:r>
      <w:r w:rsidRPr="00CE0424">
        <w:t xml:space="preserve"> </w:t>
      </w:r>
      <w:r w:rsidR="008F1C4E">
        <w:t xml:space="preserve">Meeting </w:t>
      </w:r>
      <w:r w:rsidRPr="00CE0424">
        <w:t>#</w:t>
      </w:r>
      <w:r w:rsidR="004A2D98" w:rsidRPr="004A2D98">
        <w:t>94bis</w:t>
      </w:r>
      <w:r w:rsidRPr="00CE0424">
        <w:tab/>
      </w:r>
      <w:r w:rsidR="00091557" w:rsidRPr="00050C46">
        <w:rPr>
          <w:i/>
          <w:sz w:val="32"/>
          <w:szCs w:val="32"/>
        </w:rPr>
        <w:t>R</w:t>
      </w:r>
      <w:r w:rsidR="008F1C4E" w:rsidRPr="00050C46">
        <w:rPr>
          <w:i/>
          <w:sz w:val="32"/>
          <w:szCs w:val="32"/>
        </w:rPr>
        <w:t>1</w:t>
      </w:r>
      <w:r w:rsidR="00091557" w:rsidRPr="00050C46">
        <w:rPr>
          <w:i/>
          <w:sz w:val="32"/>
          <w:szCs w:val="32"/>
        </w:rPr>
        <w:t>-</w:t>
      </w:r>
      <w:r w:rsidR="005F3025" w:rsidRPr="00050C46">
        <w:rPr>
          <w:i/>
          <w:sz w:val="32"/>
          <w:szCs w:val="32"/>
        </w:rPr>
        <w:t>1</w:t>
      </w:r>
      <w:r w:rsidR="008F1C4E" w:rsidRPr="00050C46">
        <w:rPr>
          <w:i/>
          <w:sz w:val="32"/>
          <w:szCs w:val="32"/>
        </w:rPr>
        <w:t>8</w:t>
      </w:r>
      <w:r w:rsidR="002033C4">
        <w:rPr>
          <w:i/>
          <w:sz w:val="32"/>
          <w:szCs w:val="32"/>
        </w:rPr>
        <w:t>11581</w:t>
      </w:r>
    </w:p>
    <w:p w14:paraId="624F3E54" w14:textId="33ACDD01" w:rsidR="00E90E49" w:rsidRPr="004A2D98" w:rsidRDefault="004A2D98" w:rsidP="00357380">
      <w:pPr>
        <w:pStyle w:val="3GPPHeader"/>
        <w:rPr>
          <w:bCs/>
        </w:rPr>
      </w:pPr>
      <w:r w:rsidRPr="004A2D98">
        <w:rPr>
          <w:bCs/>
        </w:rPr>
        <w:t>Chengdu, China, October 8</w:t>
      </w:r>
      <w:r w:rsidRPr="004A2D98">
        <w:rPr>
          <w:bCs/>
          <w:vertAlign w:val="superscript"/>
        </w:rPr>
        <w:t>th</w:t>
      </w:r>
      <w:r w:rsidRPr="004A2D98">
        <w:rPr>
          <w:bCs/>
        </w:rPr>
        <w:t xml:space="preserve"> – 12</w:t>
      </w:r>
      <w:r w:rsidRPr="004A2D98">
        <w:rPr>
          <w:bCs/>
          <w:vertAlign w:val="superscript"/>
        </w:rPr>
        <w:t>th</w:t>
      </w:r>
      <w:r w:rsidRPr="004A2D98">
        <w:rPr>
          <w:bCs/>
        </w:rPr>
        <w:t xml:space="preserve">, 2018 </w:t>
      </w:r>
    </w:p>
    <w:p w14:paraId="1516F60F" w14:textId="1DBBBB86" w:rsidR="00E90E49" w:rsidRPr="00113062" w:rsidRDefault="00E90E49" w:rsidP="00311702">
      <w:pPr>
        <w:pStyle w:val="3GPPHeader"/>
        <w:rPr>
          <w:sz w:val="22"/>
          <w:szCs w:val="22"/>
          <w:lang w:val="en-US"/>
        </w:rPr>
      </w:pPr>
      <w:r w:rsidRPr="00113062">
        <w:rPr>
          <w:sz w:val="22"/>
          <w:szCs w:val="22"/>
          <w:lang w:val="en-US"/>
        </w:rPr>
        <w:t>Agenda Item:</w:t>
      </w:r>
      <w:r w:rsidRPr="00113062">
        <w:rPr>
          <w:sz w:val="22"/>
          <w:szCs w:val="22"/>
          <w:lang w:val="en-US"/>
        </w:rPr>
        <w:tab/>
      </w:r>
      <w:r w:rsidR="008F0A39">
        <w:rPr>
          <w:sz w:val="22"/>
          <w:szCs w:val="22"/>
          <w:lang w:val="en-US"/>
        </w:rPr>
        <w:t>7.1.1.2</w:t>
      </w:r>
    </w:p>
    <w:p w14:paraId="2CEA534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48881C3" w14:textId="38541853" w:rsidR="00E90E49" w:rsidRPr="00CE0424" w:rsidRDefault="003D3C45" w:rsidP="00311702">
      <w:pPr>
        <w:pStyle w:val="3GPPHeader"/>
        <w:rPr>
          <w:sz w:val="22"/>
          <w:szCs w:val="22"/>
        </w:rPr>
      </w:pPr>
      <w:r>
        <w:rPr>
          <w:sz w:val="22"/>
          <w:szCs w:val="22"/>
        </w:rPr>
        <w:t>Title:</w:t>
      </w:r>
      <w:r w:rsidR="00E90E49" w:rsidRPr="00CE0424">
        <w:rPr>
          <w:sz w:val="22"/>
          <w:szCs w:val="22"/>
        </w:rPr>
        <w:tab/>
      </w:r>
      <w:r w:rsidR="00113062">
        <w:rPr>
          <w:sz w:val="22"/>
          <w:szCs w:val="22"/>
        </w:rPr>
        <w:t xml:space="preserve">Maintenance </w:t>
      </w:r>
      <w:r w:rsidR="00625932" w:rsidRPr="00625932">
        <w:rPr>
          <w:sz w:val="22"/>
          <w:szCs w:val="22"/>
        </w:rPr>
        <w:t xml:space="preserve">for Physical </w:t>
      </w:r>
      <w:proofErr w:type="gramStart"/>
      <w:r w:rsidR="00625932" w:rsidRPr="00625932">
        <w:rPr>
          <w:sz w:val="22"/>
          <w:szCs w:val="22"/>
        </w:rPr>
        <w:t>random access</w:t>
      </w:r>
      <w:proofErr w:type="gramEnd"/>
      <w:r w:rsidR="00625932" w:rsidRPr="00625932">
        <w:rPr>
          <w:sz w:val="22"/>
          <w:szCs w:val="22"/>
        </w:rPr>
        <w:t xml:space="preserve"> channel and procedure</w:t>
      </w:r>
    </w:p>
    <w:p w14:paraId="73E6E290"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F5B1D">
        <w:rPr>
          <w:sz w:val="22"/>
          <w:szCs w:val="22"/>
        </w:rPr>
        <w:t>Discussion, Decision</w:t>
      </w:r>
    </w:p>
    <w:p w14:paraId="7B8EAE83" w14:textId="77777777" w:rsidR="00E90E49" w:rsidRPr="00CE0424" w:rsidRDefault="00E90E49" w:rsidP="00E90E49"/>
    <w:p w14:paraId="2BC9CFB4" w14:textId="77777777" w:rsidR="00E90E49" w:rsidRPr="00CE0424" w:rsidRDefault="00230D18" w:rsidP="00CE0424">
      <w:pPr>
        <w:pStyle w:val="Heading1"/>
      </w:pPr>
      <w:r>
        <w:t>1</w:t>
      </w:r>
      <w:r>
        <w:tab/>
      </w:r>
      <w:r w:rsidR="00E90E49" w:rsidRPr="00CE0424">
        <w:t>Introduction</w:t>
      </w:r>
    </w:p>
    <w:p w14:paraId="6E1DFA27" w14:textId="10E4B4A1" w:rsidR="00FF5B1D" w:rsidRPr="00CE0424" w:rsidRDefault="00FF5B1D" w:rsidP="00FF5B1D">
      <w:pPr>
        <w:pStyle w:val="BodyText"/>
      </w:pPr>
      <w:r>
        <w:t xml:space="preserve">In the following, we discuss the aspects related to </w:t>
      </w:r>
      <w:r w:rsidR="00113062">
        <w:t xml:space="preserve">PRACH and RACH procedures </w:t>
      </w:r>
      <w:r>
        <w:t>for release 15 maintenance requiring clarifications.</w:t>
      </w:r>
    </w:p>
    <w:p w14:paraId="2D630DF1" w14:textId="0D5C5022" w:rsidR="004000E8" w:rsidRDefault="00230D18" w:rsidP="00CE0424">
      <w:pPr>
        <w:pStyle w:val="Heading1"/>
      </w:pPr>
      <w:bookmarkStart w:id="0" w:name="_Ref178064866"/>
      <w:r>
        <w:t>2</w:t>
      </w:r>
      <w:r>
        <w:tab/>
      </w:r>
      <w:bookmarkEnd w:id="0"/>
      <w:r w:rsidR="00B96FB4">
        <w:t>Discussion</w:t>
      </w:r>
    </w:p>
    <w:p w14:paraId="297AE3D9" w14:textId="2CFC5C3A" w:rsidR="00B96FB4" w:rsidRDefault="00B96FB4" w:rsidP="00B96FB4">
      <w:pPr>
        <w:pStyle w:val="Heading2"/>
      </w:pPr>
      <w:r>
        <w:t xml:space="preserve">2.2 </w:t>
      </w:r>
      <w:r>
        <w:tab/>
        <w:t>O</w:t>
      </w:r>
      <w:r w:rsidRPr="00B96FB4">
        <w:t>btain</w:t>
      </w:r>
      <w:r>
        <w:t xml:space="preserve">ing </w:t>
      </w:r>
      <w:r w:rsidRPr="00B96FB4">
        <w:t>frame boundary and SSB index for target cell before handover</w:t>
      </w:r>
    </w:p>
    <w:p w14:paraId="686AEFDD" w14:textId="1D21A966" w:rsidR="00B96FB4" w:rsidRPr="00B96FB4" w:rsidRDefault="00B96FB4" w:rsidP="00B96FB4">
      <w:pPr>
        <w:pStyle w:val="BodyText"/>
      </w:pPr>
      <w:r>
        <w:t xml:space="preserve">In RAN1#94, it was discussed </w:t>
      </w:r>
      <w:r w:rsidRPr="00B96FB4">
        <w:t xml:space="preserve">how </w:t>
      </w:r>
      <w:r>
        <w:t xml:space="preserve">the UE will </w:t>
      </w:r>
      <w:r w:rsidRPr="00B96FB4">
        <w:t>obtain the frame boundary information and SSB index for target cell before handover</w:t>
      </w:r>
      <w:r>
        <w:t xml:space="preserve"> </w:t>
      </w:r>
      <w:r w:rsidR="007730AC">
        <w:fldChar w:fldCharType="begin"/>
      </w:r>
      <w:r w:rsidR="007730AC">
        <w:instrText xml:space="preserve"> REF _Ref525934128 \r \h </w:instrText>
      </w:r>
      <w:r w:rsidR="007730AC">
        <w:fldChar w:fldCharType="separate"/>
      </w:r>
      <w:r w:rsidR="007730AC">
        <w:t>[1]</w:t>
      </w:r>
      <w:r w:rsidR="007730AC">
        <w:fldChar w:fldCharType="end"/>
      </w:r>
      <w:r>
        <w:t>. Here we discuss the issue separately for FR1 and for FR2.</w:t>
      </w:r>
    </w:p>
    <w:p w14:paraId="0582E65B" w14:textId="6D915563" w:rsidR="00B96FB4" w:rsidRDefault="00B96FB4" w:rsidP="00B96FB4">
      <w:pPr>
        <w:pStyle w:val="Heading3"/>
      </w:pPr>
      <w:r>
        <w:t xml:space="preserve">2.2.1 </w:t>
      </w:r>
      <w:r>
        <w:tab/>
        <w:t>FR1</w:t>
      </w:r>
    </w:p>
    <w:p w14:paraId="7B85B36B" w14:textId="62EB0F1D" w:rsidR="00B96FB4" w:rsidRDefault="00B07125" w:rsidP="00B07125">
      <w:pPr>
        <w:pStyle w:val="BodyText"/>
      </w:pPr>
      <w:r>
        <w:t xml:space="preserve">For </w:t>
      </w:r>
      <w:r w:rsidR="003B40C4" w:rsidRPr="00B07125">
        <w:rPr>
          <w:rFonts w:ascii="Times New Roman" w:hAnsi="Times New Roman"/>
          <w:i/>
        </w:rPr>
        <w:t>L=4</w:t>
      </w:r>
      <w:r w:rsidR="003B40C4">
        <w:t xml:space="preserve">, </w:t>
      </w:r>
      <w:r>
        <w:t xml:space="preserve">the half frame timing is known to the UE and </w:t>
      </w:r>
      <w:r w:rsidR="003B40C4">
        <w:t xml:space="preserve">only PRACH configurations with periodicities larger than 10 </w:t>
      </w:r>
      <w:proofErr w:type="spellStart"/>
      <w:r w:rsidR="003B40C4">
        <w:t>ms</w:t>
      </w:r>
      <w:proofErr w:type="spellEnd"/>
      <w:r w:rsidR="003B40C4">
        <w:t xml:space="preserve"> need synchronization if PBCH reading is to be avoided. RAN1 already agreed </w:t>
      </w:r>
      <w:r w:rsidR="003C7572">
        <w:t xml:space="preserve">for paired spectrum </w:t>
      </w:r>
      <w:r w:rsidR="003B40C4">
        <w:t>the</w:t>
      </w:r>
      <w:r w:rsidR="003B40C4" w:rsidRPr="003B40C4">
        <w:t xml:space="preserve"> absolute value of the relative time difference</w:t>
      </w:r>
      <w:r w:rsidR="003B40C4">
        <w:t xml:space="preserve"> </w:t>
      </w:r>
      <w:r w:rsidR="003C7572">
        <w:t xml:space="preserve">between cells within </w:t>
      </w:r>
      <w:r w:rsidR="005B3343">
        <w:t xml:space="preserve">the same frequency </w:t>
      </w:r>
      <w:r w:rsidR="003C7572">
        <w:t xml:space="preserve">range </w:t>
      </w:r>
      <w:r w:rsidR="003B40C4">
        <w:t xml:space="preserve">and </w:t>
      </w:r>
      <w:r w:rsidR="003B40C4" w:rsidRPr="00B07125">
        <w:rPr>
          <w:rFonts w:ascii="Times New Roman" w:hAnsi="Times New Roman"/>
          <w:i/>
        </w:rPr>
        <w:t>L=4</w:t>
      </w:r>
      <w:r w:rsidR="003B40C4">
        <w:t xml:space="preserve"> and this can be extended to unpaired spectrum.</w:t>
      </w:r>
    </w:p>
    <w:p w14:paraId="0FBDD7DC" w14:textId="3507AFE9" w:rsidR="005B3343" w:rsidRDefault="005B3343" w:rsidP="005B3343">
      <w:pPr>
        <w:pStyle w:val="Proposal"/>
      </w:pPr>
      <w:bookmarkStart w:id="1" w:name="_Toc525938110"/>
      <w:r>
        <w:t xml:space="preserve">The </w:t>
      </w:r>
      <w:r w:rsidR="003C7572">
        <w:t xml:space="preserve">already agreed </w:t>
      </w:r>
      <w:r>
        <w:t xml:space="preserve">requirements for </w:t>
      </w:r>
      <w:r w:rsidR="003C7572">
        <w:t>time</w:t>
      </w:r>
      <w:r>
        <w:t xml:space="preserve"> difference </w:t>
      </w:r>
      <w:r w:rsidR="003C7572">
        <w:t xml:space="preserve">between cells in </w:t>
      </w:r>
      <w:r w:rsidR="003C7572">
        <w:t xml:space="preserve">paired spectrum </w:t>
      </w:r>
      <w:r w:rsidR="003C7572">
        <w:t xml:space="preserve">with </w:t>
      </w:r>
      <w:r w:rsidRPr="00B07125">
        <w:rPr>
          <w:rFonts w:ascii="Times New Roman" w:hAnsi="Times New Roman"/>
          <w:i/>
        </w:rPr>
        <w:t>L=4</w:t>
      </w:r>
      <w:r>
        <w:t xml:space="preserve"> </w:t>
      </w:r>
      <w:r w:rsidR="003C7572">
        <w:t>also applies</w:t>
      </w:r>
      <w:r>
        <w:t xml:space="preserve"> to unpaired spectrum</w:t>
      </w:r>
      <w:bookmarkEnd w:id="1"/>
    </w:p>
    <w:p w14:paraId="705A7FF3" w14:textId="34137E0F" w:rsidR="00D07CBF" w:rsidRDefault="003C7572" w:rsidP="003C7572">
      <w:pPr>
        <w:pStyle w:val="BodyText"/>
      </w:pPr>
      <w:r>
        <w:t xml:space="preserve">For </w:t>
      </w:r>
      <w:r w:rsidRPr="00B07125">
        <w:rPr>
          <w:rFonts w:ascii="Times New Roman" w:hAnsi="Times New Roman"/>
          <w:i/>
        </w:rPr>
        <w:t>L=</w:t>
      </w:r>
      <w:r>
        <w:rPr>
          <w:rFonts w:ascii="Times New Roman" w:hAnsi="Times New Roman"/>
          <w:i/>
        </w:rPr>
        <w:t>8</w:t>
      </w:r>
      <w:r>
        <w:t xml:space="preserve">, </w:t>
      </w:r>
      <w:r>
        <w:t xml:space="preserve">the half frame is not known from the DMRS only and PBCH reading is needed. It should be noted that the complexity from decoding the PBCH is minimal and this is a capability the UE already has. The only reason for not using the PBCH to detect the full timing of the </w:t>
      </w:r>
      <w:r w:rsidR="00050671">
        <w:t xml:space="preserve">neighbour </w:t>
      </w:r>
      <w:r>
        <w:t>cell would be that sufficient performance cannot be achieved in PBCH decoding</w:t>
      </w:r>
      <w:r w:rsidR="003E4E2C">
        <w:t>, but b</w:t>
      </w:r>
      <w:r>
        <w:t>ased on the link budgets for PBCH</w:t>
      </w:r>
      <w:r w:rsidR="00115091">
        <w:fldChar w:fldCharType="begin"/>
      </w:r>
      <w:r w:rsidR="00115091">
        <w:instrText xml:space="preserve"> REF _Ref525938014 \r \h </w:instrText>
      </w:r>
      <w:r w:rsidR="00115091">
        <w:fldChar w:fldCharType="separate"/>
      </w:r>
      <w:r w:rsidR="00115091">
        <w:t>[2]</w:t>
      </w:r>
      <w:r w:rsidR="00115091">
        <w:fldChar w:fldCharType="end"/>
      </w:r>
      <w:r w:rsidR="00115091">
        <w:t xml:space="preserve">, </w:t>
      </w:r>
      <w:r w:rsidR="00283F2B">
        <w:t>the performance of decoding PBCH is on par with other parts of SS</w:t>
      </w:r>
      <w:r w:rsidR="004E055E">
        <w:t>/</w:t>
      </w:r>
      <w:bookmarkStart w:id="2" w:name="_GoBack"/>
      <w:bookmarkEnd w:id="2"/>
      <w:r w:rsidR="004E055E">
        <w:t>PBCH block</w:t>
      </w:r>
      <w:r w:rsidR="00283F2B">
        <w:t xml:space="preserve"> detection. </w:t>
      </w:r>
      <w:r w:rsidR="00115091">
        <w:t xml:space="preserve">The PBCH decoding would take place when the UE first detects the neighbour cell for measurements so that no PBCH reading is needed after receiving the handover command. </w:t>
      </w:r>
    </w:p>
    <w:p w14:paraId="1A2C5305" w14:textId="11643165" w:rsidR="00D07CBF" w:rsidRDefault="00D07CBF" w:rsidP="00D07CBF">
      <w:pPr>
        <w:pStyle w:val="Observation"/>
      </w:pPr>
      <w:r>
        <w:t xml:space="preserve">Performance of decoding the PBCH should be </w:t>
      </w:r>
      <w:r w:rsidR="00115091">
        <w:t xml:space="preserve">sufficient to provide timing of neighbouring cell when </w:t>
      </w:r>
      <w:r w:rsidR="00115091" w:rsidRPr="00B07125">
        <w:rPr>
          <w:rFonts w:ascii="Times New Roman" w:hAnsi="Times New Roman"/>
          <w:i/>
        </w:rPr>
        <w:t>L=</w:t>
      </w:r>
      <w:r w:rsidR="00115091">
        <w:rPr>
          <w:rFonts w:ascii="Times New Roman" w:hAnsi="Times New Roman"/>
          <w:i/>
        </w:rPr>
        <w:t>8</w:t>
      </w:r>
    </w:p>
    <w:p w14:paraId="02F447AE" w14:textId="4F831D76" w:rsidR="003C7572" w:rsidRDefault="00D07CBF" w:rsidP="003C7572">
      <w:pPr>
        <w:pStyle w:val="BodyText"/>
      </w:pPr>
      <w:r>
        <w:t>If PBCH decoding is not desi</w:t>
      </w:r>
      <w:r w:rsidR="00115091">
        <w:t>red, the time difference requirements between cells will have to be tightened to take the half-frame uncertainty into account.</w:t>
      </w:r>
    </w:p>
    <w:p w14:paraId="00634E0D" w14:textId="39D4AEB6" w:rsidR="00B96FB4" w:rsidRDefault="00B96FB4" w:rsidP="00B96FB4">
      <w:pPr>
        <w:pStyle w:val="Heading3"/>
      </w:pPr>
      <w:r>
        <w:t xml:space="preserve">2.2.2 </w:t>
      </w:r>
      <w:r>
        <w:tab/>
        <w:t>FR2</w:t>
      </w:r>
    </w:p>
    <w:p w14:paraId="2F3F5DC0" w14:textId="006670C5" w:rsidR="00B96FB4" w:rsidRDefault="00E84F8E" w:rsidP="007730AC">
      <w:pPr>
        <w:pStyle w:val="BodyText"/>
      </w:pPr>
      <w:r>
        <w:t xml:space="preserve">Based on RAN4 decisions, the decoding the PBCH </w:t>
      </w:r>
      <w:r w:rsidRPr="00E84F8E">
        <w:t>is never required for intra</w:t>
      </w:r>
      <w:r w:rsidR="007730AC">
        <w:t>-</w:t>
      </w:r>
      <w:r w:rsidRPr="00E84F8E">
        <w:t xml:space="preserve">frequency </w:t>
      </w:r>
      <w:r w:rsidR="00DA1514">
        <w:t>measurements</w:t>
      </w:r>
      <w:r>
        <w:t xml:space="preserve"> since the </w:t>
      </w:r>
      <w:r w:rsidR="00DA1514">
        <w:t>timing</w:t>
      </w:r>
      <w:r w:rsidRPr="00E84F8E">
        <w:t xml:space="preserve"> can already be inferred from serving cell timing</w:t>
      </w:r>
      <w:r>
        <w:t>. F</w:t>
      </w:r>
      <w:r w:rsidRPr="00E84F8E">
        <w:t>or inter</w:t>
      </w:r>
      <w:r w:rsidR="007730AC">
        <w:t>-</w:t>
      </w:r>
      <w:r w:rsidRPr="00E84F8E">
        <w:t>frequency</w:t>
      </w:r>
      <w:r w:rsidR="007730AC">
        <w:t xml:space="preserve"> </w:t>
      </w:r>
      <w:r w:rsidR="00DA1514">
        <w:t>measurements</w:t>
      </w:r>
      <w:r>
        <w:t>,</w:t>
      </w:r>
      <w:r w:rsidRPr="00E84F8E">
        <w:t xml:space="preserve"> </w:t>
      </w:r>
      <w:r>
        <w:t xml:space="preserve">the </w:t>
      </w:r>
      <w:r w:rsidR="007730AC">
        <w:t xml:space="preserve">timing of the whole frequency layer can be determined from the </w:t>
      </w:r>
      <w:r w:rsidRPr="00E84F8E">
        <w:t xml:space="preserve">first SSB detected on the frequency </w:t>
      </w:r>
      <w:r w:rsidR="007730AC">
        <w:t>layer</w:t>
      </w:r>
      <w:r w:rsidRPr="00E84F8E">
        <w:t>. That is because of the tolerance</w:t>
      </w:r>
      <w:r w:rsidR="007730AC">
        <w:t>s</w:t>
      </w:r>
      <w:r w:rsidRPr="00E84F8E">
        <w:t xml:space="preserve"> defined </w:t>
      </w:r>
      <w:r w:rsidR="007730AC">
        <w:t xml:space="preserve">means that </w:t>
      </w:r>
      <w:r w:rsidR="007730AC" w:rsidRPr="007730AC">
        <w:rPr>
          <w:i/>
        </w:rPr>
        <w:t>derive-</w:t>
      </w:r>
      <w:proofErr w:type="spellStart"/>
      <w:r w:rsidR="007730AC" w:rsidRPr="007730AC">
        <w:rPr>
          <w:i/>
        </w:rPr>
        <w:t>SSBIndexFromCell</w:t>
      </w:r>
      <w:proofErr w:type="spellEnd"/>
      <w:r w:rsidR="007730AC" w:rsidRPr="007730AC">
        <w:t xml:space="preserve"> </w:t>
      </w:r>
      <w:r w:rsidR="007730AC">
        <w:t xml:space="preserve">is always </w:t>
      </w:r>
      <w:r w:rsidRPr="00E84F8E">
        <w:t xml:space="preserve">TRUE for FR2. </w:t>
      </w:r>
      <w:r w:rsidR="007730AC">
        <w:t xml:space="preserve">Hence, </w:t>
      </w:r>
      <w:r w:rsidR="007730AC">
        <w:lastRenderedPageBreak/>
        <w:t xml:space="preserve">after successfully decoding the PBCH </w:t>
      </w:r>
      <w:r w:rsidR="00DA1514">
        <w:t xml:space="preserve">once </w:t>
      </w:r>
      <w:r w:rsidR="007730AC">
        <w:t>on a frequency layer, the timing of the frequency layer is known.</w:t>
      </w:r>
      <w:r w:rsidR="00DA1514">
        <w:t xml:space="preserve"> Since the UE needs to measure the cell before the cell becoming a candidate for handover, the UE already know</w:t>
      </w:r>
      <w:r w:rsidR="00443406">
        <w:t>s</w:t>
      </w:r>
      <w:r w:rsidR="00DA1514">
        <w:t xml:space="preserve"> the target </w:t>
      </w:r>
      <w:r w:rsidR="005A5190">
        <w:t>cell timing</w:t>
      </w:r>
      <w:r w:rsidR="00443406">
        <w:t xml:space="preserve"> at time of handover</w:t>
      </w:r>
      <w:r w:rsidR="005A5190">
        <w:t>.</w:t>
      </w:r>
    </w:p>
    <w:p w14:paraId="52E4D1C2" w14:textId="13FF9146" w:rsidR="00DA1514" w:rsidRPr="00B96FB4" w:rsidRDefault="00DA1514" w:rsidP="00DA1514">
      <w:pPr>
        <w:pStyle w:val="Proposal"/>
      </w:pPr>
      <w:bookmarkStart w:id="3" w:name="_Toc525938111"/>
      <w:r>
        <w:t>For FR2, if the UE knows the timing of the target cell from reading the PBCH during neighbour measurements</w:t>
      </w:r>
      <w:bookmarkEnd w:id="3"/>
    </w:p>
    <w:p w14:paraId="6B223788" w14:textId="5ACDD704" w:rsidR="00FF5B1D" w:rsidRPr="00FF5B1D" w:rsidRDefault="00E02C19" w:rsidP="00440656">
      <w:pPr>
        <w:pStyle w:val="Heading1"/>
      </w:pPr>
      <w:r>
        <w:t>4</w:t>
      </w:r>
      <w:r w:rsidR="00440656">
        <w:tab/>
        <w:t>Conclusions</w:t>
      </w:r>
    </w:p>
    <w:p w14:paraId="1FF18527" w14:textId="5E00497B" w:rsidR="00EB55E4" w:rsidRDefault="00EB55E4" w:rsidP="00EB55E4">
      <w:pPr>
        <w:pStyle w:val="BodyText"/>
      </w:pPr>
      <w:r w:rsidRPr="00CE0424">
        <w:t xml:space="preserve">Based on the discussion in </w:t>
      </w:r>
      <w:r>
        <w:t xml:space="preserve">the previous </w:t>
      </w:r>
      <w:r w:rsidRPr="00CE0424">
        <w:t>section</w:t>
      </w:r>
      <w:r>
        <w:t>s</w:t>
      </w:r>
      <w:r w:rsidRPr="00CE0424">
        <w:t xml:space="preserve"> we propose the following:</w:t>
      </w:r>
    </w:p>
    <w:p w14:paraId="3FC4ABEF" w14:textId="77777777" w:rsidR="00115091" w:rsidRPr="00115091" w:rsidRDefault="00115091">
      <w:pPr>
        <w:pStyle w:val="TOC1"/>
        <w:tabs>
          <w:tab w:val="left" w:pos="1418"/>
        </w:tabs>
        <w:rPr>
          <w:rFonts w:ascii="Arial" w:eastAsiaTheme="minorEastAsia" w:hAnsi="Arial" w:cs="Arial"/>
          <w:b/>
          <w:sz w:val="20"/>
          <w:lang w:val="en-US" w:eastAsia="en-US"/>
        </w:rPr>
      </w:pPr>
      <w:r w:rsidRPr="00115091">
        <w:rPr>
          <w:rFonts w:ascii="Arial" w:hAnsi="Arial" w:cs="Arial"/>
          <w:b/>
          <w:sz w:val="20"/>
        </w:rPr>
        <w:fldChar w:fldCharType="begin"/>
      </w:r>
      <w:r w:rsidRPr="00115091">
        <w:rPr>
          <w:rFonts w:ascii="Arial" w:hAnsi="Arial" w:cs="Arial"/>
          <w:b/>
          <w:sz w:val="20"/>
        </w:rPr>
        <w:instrText xml:space="preserve"> TOC \o "9-9" \n \t "Proposal,1" </w:instrText>
      </w:r>
      <w:r w:rsidRPr="00115091">
        <w:rPr>
          <w:rFonts w:ascii="Arial" w:hAnsi="Arial" w:cs="Arial"/>
          <w:b/>
          <w:sz w:val="20"/>
        </w:rPr>
        <w:fldChar w:fldCharType="separate"/>
      </w:r>
      <w:r w:rsidRPr="00115091">
        <w:rPr>
          <w:rFonts w:ascii="Arial" w:hAnsi="Arial" w:cs="Arial"/>
          <w:b/>
          <w:sz w:val="20"/>
        </w:rPr>
        <w:t>Proposal 1</w:t>
      </w:r>
      <w:r w:rsidRPr="00115091">
        <w:rPr>
          <w:rFonts w:ascii="Arial" w:eastAsiaTheme="minorEastAsia" w:hAnsi="Arial" w:cs="Arial"/>
          <w:b/>
          <w:sz w:val="20"/>
          <w:lang w:val="en-US" w:eastAsia="en-US"/>
        </w:rPr>
        <w:tab/>
      </w:r>
      <w:r w:rsidRPr="00115091">
        <w:rPr>
          <w:rFonts w:ascii="Arial" w:hAnsi="Arial" w:cs="Arial"/>
          <w:b/>
          <w:sz w:val="20"/>
        </w:rPr>
        <w:t xml:space="preserve">The already agreed requirements for time difference between cells in paired spectrum with </w:t>
      </w:r>
      <w:r w:rsidRPr="00115091">
        <w:rPr>
          <w:rFonts w:ascii="Arial" w:hAnsi="Arial" w:cs="Arial"/>
          <w:b/>
          <w:i/>
          <w:sz w:val="20"/>
        </w:rPr>
        <w:t>L=4</w:t>
      </w:r>
      <w:r w:rsidRPr="00115091">
        <w:rPr>
          <w:rFonts w:ascii="Arial" w:hAnsi="Arial" w:cs="Arial"/>
          <w:b/>
          <w:sz w:val="20"/>
        </w:rPr>
        <w:t xml:space="preserve"> also applies to unpaired spectrum</w:t>
      </w:r>
    </w:p>
    <w:p w14:paraId="7704B92D" w14:textId="77777777" w:rsidR="00115091" w:rsidRPr="00115091" w:rsidRDefault="00115091">
      <w:pPr>
        <w:pStyle w:val="TOC1"/>
        <w:tabs>
          <w:tab w:val="left" w:pos="1418"/>
        </w:tabs>
        <w:rPr>
          <w:rFonts w:ascii="Arial" w:eastAsiaTheme="minorEastAsia" w:hAnsi="Arial" w:cs="Arial"/>
          <w:b/>
          <w:sz w:val="20"/>
          <w:lang w:val="en-US" w:eastAsia="en-US"/>
        </w:rPr>
      </w:pPr>
      <w:r w:rsidRPr="00115091">
        <w:rPr>
          <w:rFonts w:ascii="Arial" w:hAnsi="Arial" w:cs="Arial"/>
          <w:b/>
          <w:sz w:val="20"/>
        </w:rPr>
        <w:t>Proposal 2</w:t>
      </w:r>
      <w:r w:rsidRPr="00115091">
        <w:rPr>
          <w:rFonts w:ascii="Arial" w:eastAsiaTheme="minorEastAsia" w:hAnsi="Arial" w:cs="Arial"/>
          <w:b/>
          <w:sz w:val="20"/>
          <w:lang w:val="en-US" w:eastAsia="en-US"/>
        </w:rPr>
        <w:tab/>
      </w:r>
      <w:r w:rsidRPr="00115091">
        <w:rPr>
          <w:rFonts w:ascii="Arial" w:hAnsi="Arial" w:cs="Arial"/>
          <w:b/>
          <w:sz w:val="20"/>
        </w:rPr>
        <w:t>For FR2, if the UE knows the timing of the target cell from reading the PBCH during neighbour measurements</w:t>
      </w:r>
    </w:p>
    <w:p w14:paraId="4D60436A" w14:textId="73D13285" w:rsidR="00C01F33" w:rsidRPr="00CE0424" w:rsidRDefault="00115091" w:rsidP="00115091">
      <w:pPr>
        <w:pStyle w:val="BodyText"/>
      </w:pPr>
      <w:r w:rsidRPr="00115091">
        <w:rPr>
          <w:rFonts w:cs="Arial"/>
          <w:b/>
        </w:rPr>
        <w:fldChar w:fldCharType="end"/>
      </w:r>
    </w:p>
    <w:p w14:paraId="0107106E" w14:textId="77777777" w:rsidR="00F507D1" w:rsidRPr="00CE0424" w:rsidRDefault="00F507D1" w:rsidP="00CE0424">
      <w:pPr>
        <w:pStyle w:val="Heading1"/>
      </w:pPr>
      <w:bookmarkStart w:id="4" w:name="_In-sequence_SDU_delivery"/>
      <w:bookmarkEnd w:id="4"/>
      <w:r w:rsidRPr="00CE0424">
        <w:t>References</w:t>
      </w:r>
    </w:p>
    <w:p w14:paraId="070DF40D" w14:textId="580D1D83" w:rsidR="005F3025" w:rsidRDefault="00B96FB4" w:rsidP="00B96FB4">
      <w:pPr>
        <w:pStyle w:val="Reference"/>
      </w:pPr>
      <w:bookmarkStart w:id="5" w:name="_Ref174151459"/>
      <w:bookmarkStart w:id="6" w:name="_Ref189809556"/>
      <w:bookmarkStart w:id="7" w:name="_Ref525934128"/>
      <w:r w:rsidRPr="00B96FB4">
        <w:t>R1-1809919</w:t>
      </w:r>
      <w:r w:rsidR="005F3025" w:rsidRPr="00CE0424">
        <w:t xml:space="preserve">, </w:t>
      </w:r>
      <w:r>
        <w:t>“</w:t>
      </w:r>
      <w:r w:rsidRPr="00B96FB4">
        <w:t xml:space="preserve">Maintenance for Physical </w:t>
      </w:r>
      <w:proofErr w:type="gramStart"/>
      <w:r w:rsidRPr="00B96FB4">
        <w:t>random access</w:t>
      </w:r>
      <w:proofErr w:type="gramEnd"/>
      <w:r w:rsidRPr="00B96FB4">
        <w:t xml:space="preserve"> channel</w:t>
      </w:r>
      <w:r>
        <w:t>”</w:t>
      </w:r>
      <w:r w:rsidR="005F3025" w:rsidRPr="00CE0424">
        <w:t xml:space="preserve">, </w:t>
      </w:r>
      <w:bookmarkEnd w:id="5"/>
      <w:bookmarkEnd w:id="6"/>
      <w:proofErr w:type="spellStart"/>
      <w:r w:rsidRPr="00B96FB4">
        <w:t>Convida</w:t>
      </w:r>
      <w:proofErr w:type="spellEnd"/>
      <w:r w:rsidRPr="00B96FB4">
        <w:t xml:space="preserve"> Wireless</w:t>
      </w:r>
      <w:bookmarkEnd w:id="7"/>
    </w:p>
    <w:p w14:paraId="0A31FEE3" w14:textId="757D496D" w:rsidR="00283F2B" w:rsidRPr="00CE0424" w:rsidRDefault="00283F2B" w:rsidP="00283F2B">
      <w:pPr>
        <w:pStyle w:val="Reference"/>
      </w:pPr>
      <w:bookmarkStart w:id="8" w:name="_Ref525938014"/>
      <w:r>
        <w:t>R1-1809266, “</w:t>
      </w:r>
      <w:r w:rsidRPr="00283F2B">
        <w:t>IMT-2020 Self-Evaluation: NR Link Budgets</w:t>
      </w:r>
      <w:r>
        <w:t>”, Ericsson</w:t>
      </w:r>
      <w:bookmarkEnd w:id="8"/>
    </w:p>
    <w:sectPr w:rsidR="00283F2B" w:rsidRPr="00CE0424"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DD8AD5" w14:textId="77777777" w:rsidR="00C87A57" w:rsidRDefault="00C87A57">
      <w:r>
        <w:separator/>
      </w:r>
    </w:p>
  </w:endnote>
  <w:endnote w:type="continuationSeparator" w:id="0">
    <w:p w14:paraId="15AF74EF" w14:textId="77777777" w:rsidR="00C87A57" w:rsidRDefault="00C87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98F5B"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F2F881" w14:textId="77777777" w:rsidR="00C87A57" w:rsidRDefault="00C87A57">
      <w:r>
        <w:separator/>
      </w:r>
    </w:p>
  </w:footnote>
  <w:footnote w:type="continuationSeparator" w:id="0">
    <w:p w14:paraId="00C05924" w14:textId="77777777" w:rsidR="00C87A57" w:rsidRDefault="00C87A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BBB8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DA8C77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5769A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98"/>
    <w:rsid w:val="000006E1"/>
    <w:rsid w:val="00002A37"/>
    <w:rsid w:val="0000564C"/>
    <w:rsid w:val="00006446"/>
    <w:rsid w:val="00006896"/>
    <w:rsid w:val="00007CDC"/>
    <w:rsid w:val="00011B28"/>
    <w:rsid w:val="00015D15"/>
    <w:rsid w:val="0002564D"/>
    <w:rsid w:val="00025ECA"/>
    <w:rsid w:val="00032322"/>
    <w:rsid w:val="000325B8"/>
    <w:rsid w:val="00034C15"/>
    <w:rsid w:val="00036BA1"/>
    <w:rsid w:val="000422E2"/>
    <w:rsid w:val="00042F22"/>
    <w:rsid w:val="000444EF"/>
    <w:rsid w:val="00050671"/>
    <w:rsid w:val="00050C46"/>
    <w:rsid w:val="00052A07"/>
    <w:rsid w:val="000534E3"/>
    <w:rsid w:val="0005606A"/>
    <w:rsid w:val="00057117"/>
    <w:rsid w:val="000616E7"/>
    <w:rsid w:val="00063780"/>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062"/>
    <w:rsid w:val="00113CF4"/>
    <w:rsid w:val="00115091"/>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5C7D"/>
    <w:rsid w:val="001D6342"/>
    <w:rsid w:val="001D6D53"/>
    <w:rsid w:val="001E58E2"/>
    <w:rsid w:val="001E7AED"/>
    <w:rsid w:val="001F3916"/>
    <w:rsid w:val="001F54C5"/>
    <w:rsid w:val="001F662C"/>
    <w:rsid w:val="001F7074"/>
    <w:rsid w:val="00200490"/>
    <w:rsid w:val="00201F3A"/>
    <w:rsid w:val="002033C4"/>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3F2B"/>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40C4"/>
    <w:rsid w:val="003B64BB"/>
    <w:rsid w:val="003B7FE5"/>
    <w:rsid w:val="003C11C8"/>
    <w:rsid w:val="003C2702"/>
    <w:rsid w:val="003C7572"/>
    <w:rsid w:val="003C7806"/>
    <w:rsid w:val="003D109F"/>
    <w:rsid w:val="003D2478"/>
    <w:rsid w:val="003D3C45"/>
    <w:rsid w:val="003D5B1F"/>
    <w:rsid w:val="003E15FA"/>
    <w:rsid w:val="003E4E2C"/>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0656"/>
    <w:rsid w:val="00441A92"/>
    <w:rsid w:val="004431DC"/>
    <w:rsid w:val="00443406"/>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A2D98"/>
    <w:rsid w:val="004B6F6A"/>
    <w:rsid w:val="004B7C0C"/>
    <w:rsid w:val="004C3898"/>
    <w:rsid w:val="004D25DA"/>
    <w:rsid w:val="004D36B1"/>
    <w:rsid w:val="004D5DB7"/>
    <w:rsid w:val="004D7EBD"/>
    <w:rsid w:val="004E055E"/>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5190"/>
    <w:rsid w:val="005A662D"/>
    <w:rsid w:val="005B1409"/>
    <w:rsid w:val="005B3343"/>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25932"/>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37E3C"/>
    <w:rsid w:val="00740E58"/>
    <w:rsid w:val="007445A0"/>
    <w:rsid w:val="0074524B"/>
    <w:rsid w:val="00747D8B"/>
    <w:rsid w:val="00751228"/>
    <w:rsid w:val="007571E1"/>
    <w:rsid w:val="007604B2"/>
    <w:rsid w:val="00765281"/>
    <w:rsid w:val="00766BAD"/>
    <w:rsid w:val="007729A2"/>
    <w:rsid w:val="007730AC"/>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1DF"/>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9643E"/>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0A3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1ADF"/>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07125"/>
    <w:rsid w:val="00B157F9"/>
    <w:rsid w:val="00B20256"/>
    <w:rsid w:val="00B20D09"/>
    <w:rsid w:val="00B2763F"/>
    <w:rsid w:val="00B27AAC"/>
    <w:rsid w:val="00B30929"/>
    <w:rsid w:val="00B372AA"/>
    <w:rsid w:val="00B4019E"/>
    <w:rsid w:val="00B40445"/>
    <w:rsid w:val="00B409E0"/>
    <w:rsid w:val="00B41888"/>
    <w:rsid w:val="00B45A52"/>
    <w:rsid w:val="00B46175"/>
    <w:rsid w:val="00B548B7"/>
    <w:rsid w:val="00B664C7"/>
    <w:rsid w:val="00B739F6"/>
    <w:rsid w:val="00B81A6C"/>
    <w:rsid w:val="00B85DE5"/>
    <w:rsid w:val="00B90F73"/>
    <w:rsid w:val="00B93B59"/>
    <w:rsid w:val="00B9406A"/>
    <w:rsid w:val="00B96FB4"/>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87A57"/>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7CBF"/>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1514"/>
    <w:rsid w:val="00DA305E"/>
    <w:rsid w:val="00DA5417"/>
    <w:rsid w:val="00DA56E8"/>
    <w:rsid w:val="00DB0A9F"/>
    <w:rsid w:val="00DB377D"/>
    <w:rsid w:val="00DC2D36"/>
    <w:rsid w:val="00DC53EF"/>
    <w:rsid w:val="00DE5608"/>
    <w:rsid w:val="00DE58D0"/>
    <w:rsid w:val="00DE654F"/>
    <w:rsid w:val="00DF0B6E"/>
    <w:rsid w:val="00DF15E0"/>
    <w:rsid w:val="00DF37A0"/>
    <w:rsid w:val="00E02C19"/>
    <w:rsid w:val="00E110E7"/>
    <w:rsid w:val="00E11B20"/>
    <w:rsid w:val="00E17FA2"/>
    <w:rsid w:val="00E22330"/>
    <w:rsid w:val="00E244A1"/>
    <w:rsid w:val="00E30B5A"/>
    <w:rsid w:val="00E3123D"/>
    <w:rsid w:val="00E31461"/>
    <w:rsid w:val="00E31D43"/>
    <w:rsid w:val="00E32608"/>
    <w:rsid w:val="00E34188"/>
    <w:rsid w:val="00E348BF"/>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4F8E"/>
    <w:rsid w:val="00E85928"/>
    <w:rsid w:val="00E87822"/>
    <w:rsid w:val="00E90395"/>
    <w:rsid w:val="00E90E49"/>
    <w:rsid w:val="00E917F9"/>
    <w:rsid w:val="00E9291C"/>
    <w:rsid w:val="00E93FFE"/>
    <w:rsid w:val="00E94F8A"/>
    <w:rsid w:val="00EA7A41"/>
    <w:rsid w:val="00EB077B"/>
    <w:rsid w:val="00EB4EA2"/>
    <w:rsid w:val="00EB55E4"/>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6BCC"/>
    <w:rsid w:val="00F4766C"/>
    <w:rsid w:val="00F5060E"/>
    <w:rsid w:val="00F507D1"/>
    <w:rsid w:val="00F519CE"/>
    <w:rsid w:val="00F51ADA"/>
    <w:rsid w:val="00F52EA3"/>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62B4"/>
    <w:rsid w:val="00FD74DB"/>
    <w:rsid w:val="00FD7660"/>
    <w:rsid w:val="00FE0655"/>
    <w:rsid w:val="00FE2365"/>
    <w:rsid w:val="00FE37D7"/>
    <w:rsid w:val="00FE4C7B"/>
    <w:rsid w:val="00FE7336"/>
    <w:rsid w:val="00FE787C"/>
    <w:rsid w:val="00FF45A5"/>
    <w:rsid w:val="00FF5B1D"/>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4CAF8"/>
  <w15:chartTrackingRefBased/>
  <w15:docId w15:val="{8F806C27-80B4-4043-B6D7-2E1F1EFB7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after="160" w:line="259" w:lineRule="auto"/>
      <w:ind w:left="1310" w:hanging="1310"/>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styleId="BodyText2">
    <w:name w:val="Body Text 2"/>
    <w:basedOn w:val="Normal"/>
    <w:link w:val="BodyText2Char"/>
    <w:rsid w:val="00FF5B1D"/>
    <w:pPr>
      <w:spacing w:after="120" w:line="480" w:lineRule="auto"/>
    </w:pPr>
  </w:style>
  <w:style w:type="character" w:customStyle="1" w:styleId="BodyText2Char">
    <w:name w:val="Body Text 2 Char"/>
    <w:basedOn w:val="DefaultParagraphFont"/>
    <w:link w:val="BodyText2"/>
    <w:rsid w:val="00FF5B1D"/>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096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85F724-6BC9-484A-ADF5-B218EA962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67</TotalTime>
  <Pages>2</Pages>
  <Words>518</Words>
  <Characters>2955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3467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Asbjörn Grövlen</cp:lastModifiedBy>
  <cp:revision>9</cp:revision>
  <cp:lastPrinted>2008-01-31T07:09:00Z</cp:lastPrinted>
  <dcterms:created xsi:type="dcterms:W3CDTF">2018-09-26T10:37:00Z</dcterms:created>
  <dcterms:modified xsi:type="dcterms:W3CDTF">2018-09-28T20:48:00Z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